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1D7B70">
        <w:rPr>
          <w:rFonts w:ascii="Arial" w:hAnsi="Arial" w:cs="Arial"/>
          <w:b/>
          <w:sz w:val="24"/>
          <w:szCs w:val="24"/>
        </w:rPr>
        <w:t>6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1D7B70">
        <w:rPr>
          <w:rFonts w:ascii="Arial" w:hAnsi="Arial" w:cs="Arial"/>
          <w:sz w:val="24"/>
          <w:szCs w:val="24"/>
        </w:rPr>
        <w:t>3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E24113">
        <w:rPr>
          <w:rFonts w:ascii="Arial" w:hAnsi="Arial" w:cs="Arial"/>
          <w:sz w:val="24"/>
          <w:szCs w:val="24"/>
        </w:rPr>
        <w:t xml:space="preserve"> </w:t>
      </w:r>
      <w:r w:rsidR="00E24113" w:rsidRPr="00E24113">
        <w:rPr>
          <w:rFonts w:ascii="Arial" w:hAnsi="Arial" w:cs="Arial"/>
          <w:b/>
          <w:sz w:val="24"/>
          <w:szCs w:val="24"/>
        </w:rPr>
        <w:t>Nacrt prijedloga zakona o poljoprivrednom zemljištu</w:t>
      </w:r>
      <w:r w:rsidRPr="001D7B70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FD07B3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E24113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primilo je na znanje</w:t>
      </w:r>
      <w:r w:rsidR="00E24113">
        <w:rPr>
          <w:rFonts w:ascii="Arial" w:hAnsi="Arial" w:cs="Arial"/>
        </w:rPr>
        <w:t xml:space="preserve"> </w:t>
      </w:r>
      <w:r w:rsidR="00E24113" w:rsidRPr="00E24113">
        <w:rPr>
          <w:rFonts w:ascii="Arial" w:hAnsi="Arial" w:cs="Arial"/>
        </w:rPr>
        <w:t>Nacrt prijedloga zakona o poljoprivrednom zemljištu</w:t>
      </w:r>
      <w:r w:rsidR="00B23347" w:rsidRPr="00E24113">
        <w:rPr>
          <w:rFonts w:ascii="Arial" w:hAnsi="Arial" w:cs="Arial"/>
          <w:bCs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FD07B3" w:rsidRPr="00FD07B3" w:rsidRDefault="00FD07B3" w:rsidP="005F25FE">
      <w:pPr>
        <w:spacing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 primitku konačne verzije prijedloga Zakona, na jednoj od slijedećih sjednica, Povjerenstvo će utvrditi mišljenje.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630DD1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30DD1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4113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2012-12-04T08:45:00Z</dcterms:created>
  <dcterms:modified xsi:type="dcterms:W3CDTF">2012-12-04T10:13:00Z</dcterms:modified>
</cp:coreProperties>
</file>