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E5" w:rsidRDefault="005971E5">
      <w:pPr>
        <w:rPr>
          <w:lang w:val="hr-HR"/>
        </w:rPr>
      </w:pPr>
      <w:bookmarkStart w:id="0" w:name="_GoBack"/>
      <w:bookmarkEnd w:id="0"/>
    </w:p>
    <w:p w:rsidR="0046759A" w:rsidRDefault="0046759A">
      <w:pPr>
        <w:rPr>
          <w:lang w:val="hr-HR"/>
        </w:rPr>
      </w:pPr>
    </w:p>
    <w:p w:rsidR="003D5C4E" w:rsidRPr="00CF17F0" w:rsidRDefault="003D5C4E">
      <w:pPr>
        <w:rPr>
          <w:sz w:val="12"/>
          <w:szCs w:val="12"/>
          <w:lang w:val="hr-HR"/>
        </w:rPr>
      </w:pPr>
    </w:p>
    <w:p w:rsidR="00CF17F0" w:rsidRDefault="00CF17F0">
      <w:pPr>
        <w:rPr>
          <w:lang w:val="hr-HR"/>
        </w:rPr>
      </w:pPr>
    </w:p>
    <w:p w:rsidR="00102199" w:rsidRPr="002D4271" w:rsidRDefault="00102199" w:rsidP="006F37B3">
      <w:pPr>
        <w:spacing w:before="120"/>
        <w:ind w:left="-1440"/>
        <w:rPr>
          <w:rFonts w:ascii="Palatino Linotype" w:hAnsi="Palatino Linotype"/>
          <w:lang w:val="hr-HR"/>
        </w:rPr>
      </w:pPr>
      <w:r w:rsidRPr="002D4271">
        <w:rPr>
          <w:rFonts w:ascii="Palatino Linotype" w:hAnsi="Palatino Linotype"/>
          <w:lang w:val="hr-HR"/>
        </w:rPr>
        <w:t>Urbroj:</w:t>
      </w:r>
      <w:r w:rsidR="00EE07BE">
        <w:rPr>
          <w:rFonts w:ascii="Palatino Linotype" w:hAnsi="Palatino Linotype"/>
          <w:lang w:val="hr-HR"/>
        </w:rPr>
        <w:t>157-KS-12</w:t>
      </w:r>
      <w:r w:rsidR="007F535D">
        <w:rPr>
          <w:rFonts w:ascii="Palatino Linotype" w:hAnsi="Palatino Linotype"/>
          <w:lang w:val="hr-HR"/>
        </w:rPr>
        <w:t>/14</w:t>
      </w:r>
    </w:p>
    <w:p w:rsidR="005E43F7" w:rsidRPr="002D4271" w:rsidRDefault="00740F21" w:rsidP="001D4942">
      <w:pPr>
        <w:ind w:left="-1440"/>
        <w:rPr>
          <w:rFonts w:ascii="Palatino Linotype" w:eastAsia="SimSun" w:hAnsi="Palatino Linotype"/>
          <w:lang w:val="hr-HR"/>
        </w:rPr>
      </w:pPr>
      <w:r w:rsidRPr="002D4271">
        <w:rPr>
          <w:rFonts w:ascii="Palatino Linotype" w:eastAsia="SimSun" w:hAnsi="Palatino Linotype"/>
          <w:lang w:val="hr-HR"/>
        </w:rPr>
        <w:t xml:space="preserve">Zagreb, </w:t>
      </w:r>
      <w:r w:rsidR="00041573">
        <w:rPr>
          <w:rFonts w:ascii="Palatino Linotype" w:eastAsia="SimSun" w:hAnsi="Palatino Linotype"/>
          <w:lang w:val="hr-HR"/>
        </w:rPr>
        <w:t>04</w:t>
      </w:r>
      <w:r w:rsidR="00547F31">
        <w:rPr>
          <w:rFonts w:ascii="Palatino Linotype" w:eastAsia="SimSun" w:hAnsi="Palatino Linotype"/>
          <w:lang w:val="hr-HR"/>
        </w:rPr>
        <w:t>. prosinca</w:t>
      </w:r>
      <w:r w:rsidR="00BA5BC8">
        <w:rPr>
          <w:rFonts w:ascii="Palatino Linotype" w:eastAsia="SimSun" w:hAnsi="Palatino Linotype"/>
          <w:lang w:val="hr-HR"/>
        </w:rPr>
        <w:t xml:space="preserve"> 2014.</w:t>
      </w:r>
    </w:p>
    <w:p w:rsidR="00E04215" w:rsidRDefault="00E84E58" w:rsidP="00921B2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25059">
        <w:rPr>
          <w:lang w:val="hr-HR"/>
        </w:rPr>
        <w:tab/>
      </w:r>
    </w:p>
    <w:p w:rsidR="006B50F9" w:rsidRDefault="006B50F9" w:rsidP="00E04215">
      <w:pPr>
        <w:ind w:left="2160" w:firstLine="720"/>
        <w:jc w:val="both"/>
        <w:rPr>
          <w:rFonts w:ascii="Palatino Linotype" w:hAnsi="Palatino Linotype"/>
          <w:b/>
          <w:lang w:val="hr-HR"/>
        </w:rPr>
      </w:pPr>
      <w:r>
        <w:rPr>
          <w:rFonts w:ascii="Palatino Linotype" w:hAnsi="Palatino Linotype"/>
          <w:b/>
          <w:lang w:val="hr-HR"/>
        </w:rPr>
        <w:t xml:space="preserve">MINISTARSTVO SOCIJALNE </w:t>
      </w:r>
      <w:r w:rsidR="00921B20">
        <w:rPr>
          <w:rFonts w:ascii="Palatino Linotype" w:hAnsi="Palatino Linotype"/>
          <w:b/>
          <w:lang w:val="hr-HR"/>
        </w:rPr>
        <w:t>POLITIKE</w:t>
      </w:r>
    </w:p>
    <w:p w:rsidR="00921B20" w:rsidRDefault="00921B20" w:rsidP="00921B20">
      <w:pPr>
        <w:jc w:val="both"/>
        <w:rPr>
          <w:rFonts w:ascii="Palatino Linotype" w:hAnsi="Palatino Linotype"/>
          <w:b/>
          <w:lang w:val="hr-HR"/>
        </w:rPr>
      </w:pPr>
      <w:r>
        <w:rPr>
          <w:rFonts w:ascii="Palatino Linotype" w:hAnsi="Palatino Linotype"/>
          <w:b/>
          <w:lang w:val="hr-HR"/>
        </w:rPr>
        <w:t xml:space="preserve">   </w:t>
      </w:r>
      <w:r w:rsidR="00E04215">
        <w:rPr>
          <w:rFonts w:ascii="Palatino Linotype" w:hAnsi="Palatino Linotype"/>
          <w:b/>
          <w:lang w:val="hr-HR"/>
        </w:rPr>
        <w:tab/>
      </w:r>
      <w:r w:rsidR="00E04215">
        <w:rPr>
          <w:rFonts w:ascii="Palatino Linotype" w:hAnsi="Palatino Linotype"/>
          <w:b/>
          <w:lang w:val="hr-HR"/>
        </w:rPr>
        <w:tab/>
      </w:r>
      <w:r w:rsidR="00E04215">
        <w:rPr>
          <w:rFonts w:ascii="Palatino Linotype" w:hAnsi="Palatino Linotype"/>
          <w:b/>
          <w:lang w:val="hr-HR"/>
        </w:rPr>
        <w:tab/>
      </w:r>
      <w:r w:rsidR="00E04215">
        <w:rPr>
          <w:rFonts w:ascii="Palatino Linotype" w:hAnsi="Palatino Linotype"/>
          <w:b/>
          <w:lang w:val="hr-HR"/>
        </w:rPr>
        <w:tab/>
      </w:r>
      <w:r>
        <w:rPr>
          <w:rFonts w:ascii="Palatino Linotype" w:hAnsi="Palatino Linotype"/>
          <w:b/>
          <w:lang w:val="hr-HR"/>
        </w:rPr>
        <w:t>I MLADIH</w:t>
      </w:r>
    </w:p>
    <w:p w:rsidR="00921B20" w:rsidRDefault="00921B20" w:rsidP="00E04215">
      <w:pPr>
        <w:ind w:left="2880"/>
        <w:rPr>
          <w:rFonts w:ascii="Palatino Linotype" w:hAnsi="Palatino Linotype"/>
          <w:b/>
          <w:lang w:val="hr-HR"/>
        </w:rPr>
      </w:pPr>
      <w:r>
        <w:rPr>
          <w:rFonts w:ascii="Palatino Linotype" w:hAnsi="Palatino Linotype"/>
          <w:b/>
          <w:lang w:val="hr-HR"/>
        </w:rPr>
        <w:t>Uprava za socijalnu politiku, strategiju</w:t>
      </w:r>
    </w:p>
    <w:p w:rsidR="00921B20" w:rsidRDefault="00921B20" w:rsidP="00E04215">
      <w:pPr>
        <w:ind w:left="2880"/>
        <w:rPr>
          <w:rFonts w:ascii="Palatino Linotype" w:hAnsi="Palatino Linotype"/>
          <w:b/>
          <w:lang w:val="hr-HR"/>
        </w:rPr>
      </w:pPr>
      <w:r>
        <w:rPr>
          <w:rFonts w:ascii="Palatino Linotype" w:hAnsi="Palatino Linotype"/>
          <w:b/>
          <w:lang w:val="hr-HR"/>
        </w:rPr>
        <w:t>i mlade, Služba za socijalnu politiku</w:t>
      </w:r>
    </w:p>
    <w:p w:rsidR="00921B20" w:rsidRDefault="00921B20" w:rsidP="00421DFD">
      <w:pPr>
        <w:rPr>
          <w:rFonts w:ascii="Palatino Linotype" w:hAnsi="Palatino Linotype"/>
          <w:b/>
          <w:lang w:val="hr-HR"/>
        </w:rPr>
      </w:pPr>
    </w:p>
    <w:p w:rsidR="00421DFD" w:rsidRPr="00921B20" w:rsidRDefault="00421DFD" w:rsidP="00421DFD">
      <w:pPr>
        <w:rPr>
          <w:rFonts w:ascii="Palatino Linotype" w:hAnsi="Palatino Linotype"/>
          <w:b/>
          <w:lang w:val="hr-HR"/>
        </w:rPr>
      </w:pPr>
      <w:r>
        <w:rPr>
          <w:rFonts w:ascii="Palatino Linotype" w:hAnsi="Palatino Linotype"/>
          <w:lang w:val="hr-HR"/>
        </w:rPr>
        <w:tab/>
      </w:r>
    </w:p>
    <w:p w:rsidR="00F624B6" w:rsidRPr="00F624B6" w:rsidRDefault="00F624B6" w:rsidP="00E04215">
      <w:pPr>
        <w:ind w:left="720" w:hanging="720"/>
        <w:rPr>
          <w:rFonts w:ascii="Palatino Linotype" w:hAnsi="Palatino Linotype"/>
          <w:lang w:val="hr-HR"/>
        </w:rPr>
      </w:pPr>
      <w:r w:rsidRPr="00883F1D">
        <w:rPr>
          <w:rFonts w:ascii="Palatino Linotype" w:hAnsi="Palatino Linotype"/>
          <w:b/>
          <w:lang w:val="hr-HR"/>
        </w:rPr>
        <w:t>Predmet:</w:t>
      </w:r>
      <w:r w:rsidR="00E04215">
        <w:rPr>
          <w:rFonts w:ascii="Palatino Linotype" w:hAnsi="Palatino Linotype"/>
          <w:b/>
          <w:lang w:val="hr-HR"/>
        </w:rPr>
        <w:t xml:space="preserve"> </w:t>
      </w:r>
      <w:r w:rsidRPr="00F624B6">
        <w:rPr>
          <w:rFonts w:ascii="Palatino Linotype" w:hAnsi="Palatino Linotype"/>
          <w:lang w:val="hr-HR"/>
        </w:rPr>
        <w:t>Prijedlog Programa provedbe Strategije borbe protiv</w:t>
      </w:r>
      <w:r w:rsidR="00E04215">
        <w:rPr>
          <w:rFonts w:ascii="Palatino Linotype" w:hAnsi="Palatino Linotype"/>
          <w:lang w:val="hr-HR"/>
        </w:rPr>
        <w:t xml:space="preserve"> </w:t>
      </w:r>
      <w:r w:rsidRPr="00F624B6">
        <w:rPr>
          <w:rFonts w:ascii="Palatino Linotype" w:hAnsi="Palatino Linotype"/>
          <w:lang w:val="hr-HR"/>
        </w:rPr>
        <w:t>siromaštva i socijalne isključenosti u R</w:t>
      </w:r>
      <w:r w:rsidR="00E04215">
        <w:rPr>
          <w:rFonts w:ascii="Palatino Linotype" w:hAnsi="Palatino Linotype"/>
          <w:lang w:val="hr-HR"/>
        </w:rPr>
        <w:t>H</w:t>
      </w:r>
      <w:r w:rsidRPr="00F624B6">
        <w:rPr>
          <w:rFonts w:ascii="Palatino Linotype" w:hAnsi="Palatino Linotype"/>
          <w:lang w:val="hr-HR"/>
        </w:rPr>
        <w:t xml:space="preserve"> (2014.-2020.), za razdoblje od 2014.-2016.</w:t>
      </w:r>
    </w:p>
    <w:p w:rsidR="00F624B6" w:rsidRPr="00F624B6" w:rsidRDefault="00F624B6" w:rsidP="00E04215">
      <w:pPr>
        <w:ind w:firstLine="993"/>
        <w:rPr>
          <w:rFonts w:ascii="Palatino Linotype" w:hAnsi="Palatino Linotype"/>
          <w:lang w:val="hr-HR"/>
        </w:rPr>
      </w:pPr>
      <w:r w:rsidRPr="00F624B6">
        <w:rPr>
          <w:rFonts w:ascii="Palatino Linotype" w:hAnsi="Palatino Linotype"/>
          <w:lang w:val="hr-HR"/>
        </w:rPr>
        <w:t xml:space="preserve"> - mišljenje, dostavlja se</w:t>
      </w:r>
    </w:p>
    <w:p w:rsidR="00F624B6" w:rsidRDefault="00F624B6" w:rsidP="00F624B6">
      <w:pPr>
        <w:spacing w:line="259" w:lineRule="auto"/>
        <w:ind w:firstLine="708"/>
        <w:rPr>
          <w:rFonts w:ascii="Palatino Linotype" w:eastAsiaTheme="minorHAnsi" w:hAnsi="Palatino Linotype" w:cstheme="minorBidi"/>
          <w:lang w:val="hr-HR"/>
        </w:rPr>
      </w:pPr>
    </w:p>
    <w:p w:rsidR="00F624B6" w:rsidRPr="00F624B6" w:rsidRDefault="00F624B6" w:rsidP="00F624B6">
      <w:pPr>
        <w:spacing w:line="259" w:lineRule="auto"/>
        <w:ind w:firstLine="708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>Poštovani,</w:t>
      </w:r>
    </w:p>
    <w:p w:rsidR="00E04215" w:rsidRPr="00F624B6" w:rsidRDefault="00F624B6" w:rsidP="00E04215">
      <w:pPr>
        <w:spacing w:line="259" w:lineRule="auto"/>
        <w:ind w:firstLine="708"/>
        <w:jc w:val="both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 xml:space="preserve">prije komentara na </w:t>
      </w:r>
      <w:r w:rsidR="003F22D9">
        <w:rPr>
          <w:rFonts w:ascii="Palatino Linotype" w:eastAsiaTheme="minorHAnsi" w:hAnsi="Palatino Linotype" w:cstheme="minorBidi"/>
          <w:lang w:val="hr-HR"/>
        </w:rPr>
        <w:t xml:space="preserve">sam sadržaj programa želimo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iznijeti jednu načelnu primjedbu koja se odnosi i na Strategiju borbe protiv siromaštva i na iz nje izveden Program provedbe Strategije borbe protiv siromaštva i socijalne isključenosti u Republici Hrvatskoj za razdoblje od 2014. do 2016. godine.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Osnovni cilj programa je smanjenje siromaštva i socijalne isključenosti, a činjenica je kako ispunjenje tog cilja jednostavno neće biti moguće pratiti.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Navedeno potvrđuju podaci o pokazateljima siromaštva Državnog zavoda za statistiku prema kojima se stopa rizika od siromaštva postupno smanjuje od 2011. godine, kada je iznosila 20,9%, na 20,4% u 2012. godini da bi prema posljednjim podacima za 2013. godinu iznosila 19,5% što je upravo suprotno realnom stanju. Razlog tome se nalazi u</w:t>
      </w:r>
      <w:r w:rsidRPr="00F624B6">
        <w:rPr>
          <w:rFonts w:ascii="Palatino Linotype" w:eastAsiaTheme="minorHAnsi" w:hAnsi="Palatino Linotype" w:cstheme="minorBidi"/>
          <w:b/>
          <w:lang w:val="hr-HR"/>
        </w:rPr>
        <w:t xml:space="preserve"> metodologiji</w:t>
      </w:r>
      <w:r w:rsidR="00B1242A">
        <w:rPr>
          <w:rFonts w:ascii="Palatino Linotype" w:eastAsiaTheme="minorHAnsi" w:hAnsi="Palatino Linotype" w:cstheme="minorBidi"/>
          <w:b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lang w:val="hr-HR"/>
        </w:rPr>
        <w:t>prema kojoj se prag rizika od siromaštva računa na temelju distribucije ekvivalentnih dohodaka kućanstava od kojih se određuje medijan i 60% od vrijednosti medijana iznosi prag</w:t>
      </w:r>
      <w:r w:rsidR="003F22D9">
        <w:rPr>
          <w:rFonts w:ascii="Palatino Linotype" w:eastAsiaTheme="minorHAnsi" w:hAnsi="Palatino Linotype" w:cstheme="minorBidi"/>
          <w:lang w:val="hr-HR"/>
        </w:rPr>
        <w:t xml:space="preserve"> rizika od siromaštva. Kako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stopa rizika od siromaštva predstavlja postotak ljudi koji žive ispod praga rizika od siromaštva, logično je da je stopa smanjena jer je činjenica kako su</w:t>
      </w:r>
      <w:r w:rsidR="003F22D9">
        <w:rPr>
          <w:rFonts w:ascii="Palatino Linotype" w:eastAsiaTheme="minorHAnsi" w:hAnsi="Palatino Linotype" w:cstheme="minorBidi"/>
          <w:lang w:val="hr-HR"/>
        </w:rPr>
        <w:t xml:space="preserve"> 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d</w:t>
      </w:r>
      <w:r w:rsidR="003F22D9">
        <w:rPr>
          <w:rFonts w:ascii="Palatino Linotype" w:eastAsiaTheme="minorHAnsi" w:hAnsi="Palatino Linotype" w:cstheme="minorBidi"/>
          <w:lang w:val="hr-HR"/>
        </w:rPr>
        <w:t>ohoci kućanstava smanjeni, što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potvrđuje</w:t>
      </w:r>
      <w:r w:rsidR="003F22D9">
        <w:rPr>
          <w:rFonts w:ascii="Palatino Linotype" w:eastAsiaTheme="minorHAnsi" w:hAnsi="Palatino Linotype" w:cstheme="minorBidi"/>
          <w:lang w:val="hr-HR"/>
        </w:rPr>
        <w:t xml:space="preserve"> i</w:t>
      </w:r>
      <w:r w:rsidR="00B1242A">
        <w:rPr>
          <w:rFonts w:ascii="Palatino Linotype" w:eastAsiaTheme="minorHAnsi" w:hAnsi="Palatino Linotype" w:cstheme="minorBidi"/>
          <w:lang w:val="hr-HR"/>
        </w:rPr>
        <w:t xml:space="preserve"> </w:t>
      </w:r>
      <w:r w:rsidR="003F22D9">
        <w:rPr>
          <w:rFonts w:ascii="Palatino Linotype" w:eastAsiaTheme="minorHAnsi" w:hAnsi="Palatino Linotype" w:cstheme="minorBidi"/>
          <w:lang w:val="hr-HR"/>
        </w:rPr>
        <w:t xml:space="preserve">predmetna metodologija, pa je time i </w:t>
      </w:r>
      <w:r w:rsidRPr="00F624B6">
        <w:rPr>
          <w:rFonts w:ascii="Palatino Linotype" w:eastAsiaTheme="minorHAnsi" w:hAnsi="Palatino Linotype" w:cstheme="minorBidi"/>
          <w:lang w:val="hr-HR"/>
        </w:rPr>
        <w:t>medijan postavljen na nižoj razini</w:t>
      </w:r>
      <w:r w:rsidR="003F22D9">
        <w:rPr>
          <w:rFonts w:ascii="Palatino Linotype" w:eastAsiaTheme="minorHAnsi" w:hAnsi="Palatino Linotype" w:cstheme="minorBidi"/>
          <w:lang w:val="hr-HR"/>
        </w:rPr>
        <w:t>, a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vezano za njegovu vrijednost i prag rizika od siromaštva. Ako je prag niži naravno da će biti manje ljudi koji žive ispod tog praga, ali to nikako ne znači d</w:t>
      </w:r>
      <w:r w:rsidR="000D58B6">
        <w:rPr>
          <w:rFonts w:ascii="Palatino Linotype" w:eastAsiaTheme="minorHAnsi" w:hAnsi="Palatino Linotype" w:cstheme="minorBidi"/>
          <w:lang w:val="hr-HR"/>
        </w:rPr>
        <w:t xml:space="preserve">a je smanjeno siromaštvo u RH,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već upravo suprotno. Jednostavno </w:t>
      </w:r>
      <w:r w:rsidR="0026145D">
        <w:rPr>
          <w:rFonts w:ascii="Palatino Linotype" w:eastAsiaTheme="minorHAnsi" w:hAnsi="Palatino Linotype" w:cstheme="minorBidi"/>
          <w:lang w:val="hr-HR"/>
        </w:rPr>
        <w:t>rečeno</w:t>
      </w:r>
      <w:r w:rsidR="00E04215">
        <w:rPr>
          <w:rFonts w:ascii="Palatino Linotype" w:eastAsiaTheme="minorHAnsi" w:hAnsi="Palatino Linotype" w:cstheme="minorBidi"/>
          <w:lang w:val="hr-HR"/>
        </w:rPr>
        <w:t xml:space="preserve"> </w:t>
      </w:r>
      <w:r w:rsidR="008F1848">
        <w:rPr>
          <w:rFonts w:ascii="Palatino Linotype" w:eastAsiaTheme="minorHAnsi" w:hAnsi="Palatino Linotype" w:cstheme="minorBidi"/>
          <w:lang w:val="hr-HR"/>
        </w:rPr>
        <w:t>na</w:t>
      </w:r>
      <w:r w:rsidR="00E04215">
        <w:rPr>
          <w:rFonts w:ascii="Palatino Linotype" w:eastAsiaTheme="minorHAnsi" w:hAnsi="Palatino Linotype" w:cstheme="minorBidi"/>
          <w:lang w:val="hr-HR"/>
        </w:rPr>
        <w:t xml:space="preserve"> </w:t>
      </w:r>
      <w:r w:rsidR="006D4FE1">
        <w:rPr>
          <w:rFonts w:ascii="Palatino Linotype" w:eastAsiaTheme="minorHAnsi" w:hAnsi="Palatino Linotype" w:cstheme="minorBidi"/>
          <w:lang w:val="hr-HR"/>
        </w:rPr>
        <w:t xml:space="preserve">temelju ovakve metodologije </w:t>
      </w:r>
      <w:r w:rsidRPr="00F624B6">
        <w:rPr>
          <w:rFonts w:ascii="Palatino Linotype" w:eastAsiaTheme="minorHAnsi" w:hAnsi="Palatino Linotype" w:cstheme="minorBidi"/>
          <w:lang w:val="hr-HR"/>
        </w:rPr>
        <w:t>moguće je pratiti isključivo kretanje</w:t>
      </w:r>
      <w:r w:rsidR="00B1242A">
        <w:rPr>
          <w:rFonts w:ascii="Palatino Linotype" w:eastAsiaTheme="minorHAnsi" w:hAnsi="Palatino Linotype" w:cstheme="minorBidi"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ekvivalentnih dohodaka kućanstava, a ne donositi zaključke o kretanju siromaštva u RH. 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lastRenderedPageBreak/>
        <w:t xml:space="preserve">Nadalje želimo istaknuti neke primjedbe na sadržaj Programa, točnije na strateško područje „Zapošljavanje i pristup zapošljavanju“ te načelnu 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primjedbu na strateško područje </w:t>
      </w:r>
      <w:r w:rsidR="008D0537" w:rsidRPr="00F624B6">
        <w:rPr>
          <w:rFonts w:ascii="Palatino Linotype" w:eastAsiaTheme="minorHAnsi" w:hAnsi="Palatino Linotype" w:cstheme="minorBidi"/>
          <w:lang w:val="hr-HR"/>
        </w:rPr>
        <w:t>„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Borba protiv zaduženosti i financijska neovisnost“. 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b/>
          <w:bCs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 xml:space="preserve">Vezano za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strateško područje „Zapošljavanje i pristup zapošljavanju“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sklopu kojeg je kao glavna strateška aktivnost navedeno korištenje mjera aktivne politik</w:t>
      </w:r>
      <w:r w:rsidR="00B1242A">
        <w:rPr>
          <w:rFonts w:ascii="Palatino Linotype" w:eastAsiaTheme="minorHAnsi" w:hAnsi="Palatino Linotype" w:cstheme="minorBidi"/>
          <w:lang w:val="hr-HR"/>
        </w:rPr>
        <w:t>e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zapošljavanja za koje se prema Prijedlogu državnog proračuna za 2015. godinu planiraju  povećati financijska sredstva za 5,6% u odnosu na proračun iz 2014. godine,</w:t>
      </w:r>
      <w:r w:rsidR="00B1242A">
        <w:rPr>
          <w:rFonts w:ascii="Palatino Linotype" w:eastAsiaTheme="minorHAnsi" w:hAnsi="Palatino Linotype" w:cstheme="minorBidi"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lang w:val="hr-HR"/>
        </w:rPr>
        <w:t>te s obzirom da se radi o značajnim financijskim sredstvima koja se dodatno povećavaju</w:t>
      </w:r>
      <w:r w:rsidR="00B1242A">
        <w:rPr>
          <w:rFonts w:ascii="Palatino Linotype" w:eastAsiaTheme="minorHAnsi" w:hAnsi="Palatino Linotype" w:cstheme="minorBidi"/>
          <w:lang w:val="hr-HR"/>
        </w:rPr>
        <w:t>,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mišljenja sm</w:t>
      </w:r>
      <w:r w:rsidR="008D0537">
        <w:rPr>
          <w:rFonts w:ascii="Palatino Linotype" w:eastAsiaTheme="minorHAnsi" w:hAnsi="Palatino Linotype" w:cstheme="minorBidi"/>
          <w:lang w:val="hr-HR"/>
        </w:rPr>
        <w:t>o kako bi u dijelu koji određuje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ciljeve i dijelu koji navodi načine praćenja i pokazatelje učinka trebala biti navedena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smanjena stopa registrirane</w:t>
      </w:r>
      <w:r w:rsidR="00B1242A">
        <w:rPr>
          <w:rFonts w:ascii="Palatino Linotype" w:eastAsiaTheme="minorHAnsi" w:hAnsi="Palatino Linotype" w:cstheme="minorBidi"/>
          <w:b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nezaposlenosti</w:t>
      </w:r>
      <w:r w:rsidRPr="00F624B6">
        <w:rPr>
          <w:rFonts w:ascii="Palatino Linotype" w:eastAsiaTheme="minorHAnsi" w:hAnsi="Palatino Linotype" w:cstheme="minorBidi"/>
          <w:bCs/>
          <w:lang w:val="hr-HR"/>
        </w:rPr>
        <w:t>, a ne samo pratiti broj korisnika različitih mjera aktivne politike zapošljavanja, kako je navedeno u dijelu koji opisuje pokazatelje učinka</w:t>
      </w:r>
      <w:r w:rsidRPr="00F624B6">
        <w:rPr>
          <w:rFonts w:ascii="Palatino Linotype" w:eastAsiaTheme="minorHAnsi" w:hAnsi="Palatino Linotype" w:cstheme="minorBidi"/>
          <w:bCs/>
          <w:color w:val="555555"/>
          <w:lang w:val="hr-HR"/>
        </w:rPr>
        <w:t xml:space="preserve">. </w:t>
      </w:r>
      <w:r w:rsidRPr="00F624B6">
        <w:rPr>
          <w:rFonts w:ascii="Palatino Linotype" w:eastAsiaTheme="minorHAnsi" w:hAnsi="Palatino Linotype" w:cstheme="minorBidi"/>
          <w:b/>
          <w:bCs/>
          <w:lang w:val="hr-HR"/>
        </w:rPr>
        <w:t xml:space="preserve">Aktivne mjere politike zapošljavanja kreiraju se sa svrhom postizanja višeg cilja, a to je smanjena nezaposlenost tako da povećan broj korisnika mjera ne znači nužno da su mjere korisne i da se novac iz proračuna ne troši bespotrebno. 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b/>
          <w:bCs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>Nadalje mišljenja smo kako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je</w:t>
      </w:r>
      <w:r w:rsidR="00B1242A">
        <w:rPr>
          <w:rFonts w:ascii="Palatino Linotype" w:eastAsiaTheme="minorHAnsi" w:hAnsi="Palatino Linotype" w:cstheme="minorBidi"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sadržaj</w:t>
      </w:r>
      <w:r w:rsidR="008D0537">
        <w:rPr>
          <w:rFonts w:ascii="Palatino Linotype" w:eastAsiaTheme="minorHAnsi" w:hAnsi="Palatino Linotype" w:cstheme="minorBidi"/>
          <w:b/>
          <w:lang w:val="hr-HR"/>
        </w:rPr>
        <w:t xml:space="preserve"> 1. mjere navedenog strateškog područja </w:t>
      </w:r>
      <w:r w:rsidRPr="00F624B6">
        <w:rPr>
          <w:rFonts w:ascii="Palatino Linotype" w:eastAsiaTheme="minorHAnsi" w:hAnsi="Palatino Linotype" w:cstheme="minorBidi"/>
          <w:b/>
          <w:lang w:val="hr-HR"/>
        </w:rPr>
        <w:t xml:space="preserve"> nedovoljno razrađen i neusklađen</w:t>
      </w:r>
      <w:r w:rsidRPr="00F624B6">
        <w:rPr>
          <w:rFonts w:ascii="Palatino Linotype" w:eastAsiaTheme="minorHAnsi" w:hAnsi="Palatino Linotype" w:cstheme="minorBidi"/>
          <w:lang w:val="hr-HR"/>
        </w:rPr>
        <w:t>. Primjerice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, </w:t>
      </w:r>
      <w:r w:rsidRPr="00F624B6">
        <w:rPr>
          <w:rFonts w:ascii="Palatino Linotype" w:eastAsiaTheme="minorHAnsi" w:hAnsi="Palatino Linotype" w:cstheme="minorBidi"/>
          <w:lang w:val="hr-HR"/>
        </w:rPr>
        <w:t>kod izvora financiranja navodi se „Akcijski plan desetljeća z</w:t>
      </w:r>
      <w:r w:rsidR="00552AE1">
        <w:rPr>
          <w:rFonts w:ascii="Palatino Linotype" w:eastAsiaTheme="minorHAnsi" w:hAnsi="Palatino Linotype" w:cstheme="minorBidi"/>
          <w:lang w:val="hr-HR"/>
        </w:rPr>
        <w:t xml:space="preserve">a uključivanje Roma“, dok se u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sklopu pokazatelja učinaka osim ukupnog broja korisnika potpora za zapošljavanje i usavršavanje i poticaja za samozapošljavanje te broja sudionika programa javnih radova navodi i </w:t>
      </w:r>
      <w:r w:rsidRPr="00F624B6">
        <w:rPr>
          <w:rFonts w:ascii="Palatino Linotype" w:eastAsiaTheme="minorHAnsi" w:hAnsi="Palatino Linotype" w:cstheme="minorBidi"/>
          <w:b/>
          <w:lang w:val="hr-HR"/>
        </w:rPr>
        <w:t xml:space="preserve">broj i udio nezaposlenih i zaposlenih osoba s invaliditetom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u evidenciji HZZ-a, a za koje programi zapošljavanja u dijelu koji opisuje izvore financiranja nisu niti spomenuti. Uvidom u Prijedlog proračuna za 2015. godinu razvidno je kako je došlo do promjena kod programa vezanih za zapošljavanje osoba s invaliditetom. Naime, za Fond za profesionalnu rehabilitaciju i zapošljavanje osoba s invaliditetom (šifra 08630) prema prijedlogu proračuna za 2015. godinu i projekcijama proračuna za 2016. i 2017. godinu nema više predviđenih financijskih sredstava kao što </w:t>
      </w:r>
      <w:r w:rsidR="008D0537">
        <w:rPr>
          <w:rFonts w:ascii="Palatino Linotype" w:eastAsiaTheme="minorHAnsi" w:hAnsi="Palatino Linotype" w:cstheme="minorBidi"/>
          <w:lang w:val="hr-HR"/>
        </w:rPr>
        <w:t>je to bio slučaj u 2014. godini. K</w:t>
      </w:r>
      <w:r w:rsidRPr="00F624B6">
        <w:rPr>
          <w:rFonts w:ascii="Palatino Linotype" w:eastAsiaTheme="minorHAnsi" w:hAnsi="Palatino Linotype" w:cstheme="minorBidi"/>
          <w:lang w:val="hr-HR"/>
        </w:rPr>
        <w:t>od Zavoda za vještačenje, profesionalnu rehabilitaciju i zapošljavanje osoba s invaliditetom (šifra 08635)</w:t>
      </w:r>
      <w:r w:rsidR="008D0537">
        <w:rPr>
          <w:rFonts w:ascii="Palatino Linotype" w:eastAsiaTheme="minorHAnsi" w:hAnsi="Palatino Linotype" w:cstheme="minorBidi"/>
          <w:lang w:val="hr-HR"/>
        </w:rPr>
        <w:t>,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kod stavke financiranje i sufinanciranje programa profesionalne rehabilitacije i zapošljavanje osoba s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invaliditetom (šifra A875002) </w:t>
      </w:r>
      <w:r w:rsidRPr="00F624B6">
        <w:rPr>
          <w:rFonts w:ascii="Palatino Linotype" w:eastAsiaTheme="minorHAnsi" w:hAnsi="Palatino Linotype" w:cstheme="minorBidi"/>
          <w:lang w:val="hr-HR"/>
        </w:rPr>
        <w:t>predviđeno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je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smanjenje za 12,2% u 2015.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odnosu na 2014.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godinu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te kod stavke olakšice i poticaji pri zapošljavanju osoba s invaliditetom (šifra A875003) predviđeno povećanje za 18% u 2015.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odnosu na 2014. godinu.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Ako će se već preko pokazatelja učinka pratiti broj i udio nezaposlenih i zaposlenih osoba s invaliditetom u evidenciji HZZ-a</w:t>
      </w:r>
      <w:r w:rsidR="00AF748B">
        <w:rPr>
          <w:rFonts w:ascii="Palatino Linotype" w:eastAsiaTheme="minorHAnsi" w:hAnsi="Palatino Linotype" w:cstheme="minorBidi"/>
          <w:b/>
          <w:lang w:val="hr-HR"/>
        </w:rPr>
        <w:t>,</w:t>
      </w:r>
      <w:r w:rsidRPr="00F624B6">
        <w:rPr>
          <w:rFonts w:ascii="Palatino Linotype" w:eastAsiaTheme="minorHAnsi" w:hAnsi="Palatino Linotype" w:cstheme="minorBidi"/>
          <w:b/>
          <w:lang w:val="hr-HR"/>
        </w:rPr>
        <w:t xml:space="preserve"> ne bi li trebalo spomenuti te programe u sklopu izvora financiranja?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Akcijski plan desetljeća za 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uključivanje Roma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naveden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je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sklopu izvora financiranja, a njegovi pokazatelji učinka nisu predviđeni ovim Prijedlogom programa. 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bCs/>
          <w:iCs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lastRenderedPageBreak/>
        <w:t xml:space="preserve">Vezano za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strateško područje „Osiguravanje pravne i socijalne sigurnosti radnika“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sklopu kojeg se nalazi mjera 1. „ Osiguravanje prava na novčanu naknadu za vrijeme nezaposlenosti radnicima koji su bili u radnom odnosu i osobama koje su prestale obavljati samostalnu djelatnost“ želimo istaknuti kako se uvidom u Prijedlog proračuna za 2015.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godinu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i projekcijama proračuna za 2016. i 2017. godinu ukupan iznos naknada za nezaposlene planira</w:t>
      </w:r>
      <w:r w:rsidR="00AF748B">
        <w:rPr>
          <w:rFonts w:ascii="Palatino Linotype" w:eastAsiaTheme="minorHAnsi" w:hAnsi="Palatino Linotype" w:cstheme="minorBidi"/>
          <w:lang w:val="hr-HR"/>
        </w:rPr>
        <w:t xml:space="preserve"> </w:t>
      </w:r>
      <w:r w:rsidR="008D0537" w:rsidRPr="00F624B6">
        <w:rPr>
          <w:rFonts w:ascii="Palatino Linotype" w:eastAsiaTheme="minorHAnsi" w:hAnsi="Palatino Linotype" w:cstheme="minorBidi"/>
          <w:lang w:val="hr-HR"/>
        </w:rPr>
        <w:t xml:space="preserve">u 2015. </w:t>
      </w:r>
      <w:r w:rsidR="008D0537">
        <w:rPr>
          <w:rFonts w:ascii="Palatino Linotype" w:eastAsiaTheme="minorHAnsi" w:hAnsi="Palatino Linotype" w:cstheme="minorBidi"/>
          <w:lang w:val="hr-HR"/>
        </w:rPr>
        <w:t>godini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smanjiti za 0,22% u odnosu na re</w:t>
      </w:r>
      <w:r w:rsidR="008D0537">
        <w:rPr>
          <w:rFonts w:ascii="Palatino Linotype" w:eastAsiaTheme="minorHAnsi" w:hAnsi="Palatino Linotype" w:cstheme="minorBidi"/>
          <w:lang w:val="hr-HR"/>
        </w:rPr>
        <w:t>balans proračuna za 2014. godinu</w:t>
      </w:r>
      <w:r w:rsidRPr="00F624B6">
        <w:rPr>
          <w:rFonts w:ascii="Palatino Linotype" w:eastAsiaTheme="minorHAnsi" w:hAnsi="Palatino Linotype" w:cstheme="minorBidi"/>
          <w:lang w:val="hr-HR"/>
        </w:rPr>
        <w:t>, zatim za dodatnih 4,9% u 2016.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odnosu na 2015.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godinu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i za još 5% u 2017.</w:t>
      </w:r>
      <w:r w:rsidR="008D0537">
        <w:rPr>
          <w:rFonts w:ascii="Palatino Linotype" w:eastAsiaTheme="minorHAnsi" w:hAnsi="Palatino Linotype" w:cstheme="minorBidi"/>
          <w:lang w:val="hr-HR"/>
        </w:rPr>
        <w:t xml:space="preserve"> godini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odnosu na 2016. godinu.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Budući se proširuje obuhvat korisnika naknada za nezaposlene na osobe koje su obavljale samostalnu djelatnost, a iz Prijedloga proračuna vidljivo je kako se financijska sredstva u</w:t>
      </w:r>
      <w:r w:rsidR="008D0537">
        <w:rPr>
          <w:rFonts w:ascii="Palatino Linotype" w:eastAsiaTheme="minorHAnsi" w:hAnsi="Palatino Linotype" w:cstheme="minorBidi"/>
          <w:b/>
          <w:lang w:val="hr-HR"/>
        </w:rPr>
        <w:t xml:space="preserve"> tu svrhu predviđaju  smanjiti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to je još jedan razlog da se kao cilj treba postaviti smanjena stopa registrirane nezaposlenosti</w:t>
      </w:r>
      <w:r w:rsidRPr="00F624B6">
        <w:rPr>
          <w:rFonts w:ascii="Palatino Linotype" w:eastAsiaTheme="minorHAnsi" w:hAnsi="Palatino Linotype" w:cstheme="minorBidi"/>
          <w:lang w:val="hr-HR"/>
        </w:rPr>
        <w:t>, kao što je već prethodno navedeno. S obzirom na planirane iznose može se pretpostaviti kako se očekuje manji broj korisnika naknada za nezaposlene ili se iznos naknade planira smanjiti ili će se možda mijenjati kriteriji za os</w:t>
      </w:r>
      <w:r w:rsidR="008D0537">
        <w:rPr>
          <w:rFonts w:ascii="Palatino Linotype" w:eastAsiaTheme="minorHAnsi" w:hAnsi="Palatino Linotype" w:cstheme="minorBidi"/>
          <w:lang w:val="hr-HR"/>
        </w:rPr>
        <w:t>tvarivanje prava na naknadu, a to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će smanjiti obuhvat?</w:t>
      </w:r>
      <w:r w:rsidR="00AF748B">
        <w:rPr>
          <w:rFonts w:ascii="Palatino Linotype" w:eastAsiaTheme="minorHAnsi" w:hAnsi="Palatino Linotype" w:cstheme="minorBidi"/>
          <w:lang w:val="hr-HR"/>
        </w:rPr>
        <w:t xml:space="preserve"> 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Što se tiče ovog strateškog područja, a vezano za </w:t>
      </w:r>
      <w:r w:rsidRPr="00F624B6">
        <w:rPr>
          <w:rFonts w:ascii="Palatino Linotype" w:eastAsiaTheme="minorHAnsi" w:hAnsi="Palatino Linotype" w:cstheme="minorBidi"/>
          <w:b/>
          <w:lang w:val="hr-HR"/>
        </w:rPr>
        <w:t>mjeru 2. „</w:t>
      </w:r>
      <w:r w:rsidRPr="00F624B6">
        <w:rPr>
          <w:rFonts w:ascii="Palatino Linotype" w:eastAsiaTheme="minorHAnsi" w:hAnsi="Palatino Linotype" w:cstheme="minorBidi"/>
          <w:b/>
          <w:bCs/>
          <w:iCs/>
          <w:lang w:val="hr-HR"/>
        </w:rPr>
        <w:t>Osiguravanje prava u slučaju stečaja poslodavca“ kod koje se kao glavni cilj navodi zaštita radničkih potraživanja u slučaju stečaja poslodavca, a prijedlogom proračuna za 2015. godinu stavka osiguranje potraživanja radnika u slučaju stečaja poslodavca (šifra A 837002) planira se smanjiti za 35,3% u odnosu na proračun za 2014. godinu i zadržati na toj razini u 2016. i 2017. godini (prema projekcijama proračuna).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 Legitimno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je optimistično očekivati kako će se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 broj stečaja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poslodavaca smanjivati, ali budući se radi o planiranom velikom smanjenju financijskih sredstava namijenjenih za tu svrhu</w:t>
      </w:r>
      <w:r w:rsidR="00A76F66">
        <w:rPr>
          <w:rFonts w:ascii="Palatino Linotype" w:eastAsiaTheme="minorHAnsi" w:hAnsi="Palatino Linotype" w:cstheme="minorBidi"/>
          <w:bCs/>
          <w:iCs/>
          <w:lang w:val="hr-HR"/>
        </w:rPr>
        <w:t>,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ne bi li to trebalo biti navedeno u ovom programu.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bCs/>
          <w:iCs/>
          <w:lang w:val="hr-HR"/>
        </w:rPr>
      </w:pP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Ističemo načelnu primjedbu koja je vezana za strateško područje „Borba protiv zaduženosti i financijska neovisnost“, a odnosi se na </w:t>
      </w:r>
      <w:r w:rsidRPr="00F624B6">
        <w:rPr>
          <w:rFonts w:ascii="Palatino Linotype" w:eastAsiaTheme="minorHAnsi" w:hAnsi="Palatino Linotype" w:cstheme="minorBidi"/>
          <w:b/>
          <w:bCs/>
          <w:iCs/>
          <w:lang w:val="hr-HR"/>
        </w:rPr>
        <w:t>propust donošenja Zakona o kamatama i njegovo predviđanje ovim programom čiji je prijedlog prošao prvo saborsko čitanje, ali nije usvojen.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 Njime se planiralo na drukčiji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način regulirati visinu zatezne kamatne stope tj. njenu visinu određivati pomoću referentne kamatne stope bankarskog sustava, a ne pomoću eskontne stope HNB-a kao što je trenutno slučaj. Zakonom o kamatama zatezna kamatna stopa, prema posljednjim dostupnim podacima, bi se smanjila s trenutnih 12% na 11,35% što nije značajno smanjenje, ali činjenica je kako je zatezna kamatna stopa izravno vezana za razinu duga, a svjedoci smo kontinuiranog rasta ukupnog duga građana zbog neizvršenih osnova za plaćanje. Unatoč tome što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 je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broj b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>lokiranih građana u jednom razdoblju padao, (a posljednjih mjeseci njihov broj je u stalnom rastu), razina njihovog duga neprekidno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 raste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, a 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 xml:space="preserve">nerijetko visina kamate prelazi visinu glavnice duga. Upitno je koliko je nakupljeni iznos duga kod pojedinca zapravo 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lastRenderedPageBreak/>
        <w:t>realan tj. pravedan i unatoč tome što nerealizirani Zakon o kamatama ne bi retrogradno riješio taj problem, barem sitan pomak na</w:t>
      </w:r>
      <w:r w:rsidR="00847DE6">
        <w:rPr>
          <w:rFonts w:ascii="Palatino Linotype" w:eastAsiaTheme="minorHAnsi" w:hAnsi="Palatino Linotype" w:cstheme="minorBidi"/>
          <w:bCs/>
          <w:iCs/>
          <w:lang w:val="hr-HR"/>
        </w:rPr>
        <w:t xml:space="preserve"> tu temu hitno treba ostvariti</w:t>
      </w:r>
      <w:r w:rsidRPr="00F624B6">
        <w:rPr>
          <w:rFonts w:ascii="Palatino Linotype" w:eastAsiaTheme="minorHAnsi" w:hAnsi="Palatino Linotype" w:cstheme="minorBidi"/>
          <w:bCs/>
          <w:iCs/>
          <w:lang w:val="hr-HR"/>
        </w:rPr>
        <w:t>.</w:t>
      </w:r>
    </w:p>
    <w:p w:rsidR="00F624B6" w:rsidRPr="00F624B6" w:rsidRDefault="00F624B6" w:rsidP="00273367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>Tijekom izrade Strategije već smo napominjali kako je prema posljednjim dostupnim podacima udio troškova socijalne zaštite u BDP-u u RH</w:t>
      </w:r>
      <w:r w:rsidR="00B1242A">
        <w:rPr>
          <w:rFonts w:ascii="Palatino Linotype" w:eastAsiaTheme="minorHAnsi" w:hAnsi="Palatino Linotype" w:cstheme="minorBidi"/>
          <w:lang w:val="hr-HR"/>
        </w:rPr>
        <w:t xml:space="preserve"> </w:t>
      </w:r>
      <w:r w:rsidR="00847DE6" w:rsidRPr="00F624B6">
        <w:rPr>
          <w:rFonts w:ascii="Palatino Linotype" w:eastAsiaTheme="minorHAnsi" w:hAnsi="Palatino Linotype" w:cstheme="minorBidi"/>
          <w:lang w:val="hr-HR"/>
        </w:rPr>
        <w:t>smanjen</w:t>
      </w:r>
      <w:r w:rsidR="00847DE6">
        <w:rPr>
          <w:rFonts w:ascii="Palatino Linotype" w:eastAsiaTheme="minorHAnsi" w:hAnsi="Palatino Linotype" w:cstheme="minorBidi"/>
          <w:lang w:val="hr-HR"/>
        </w:rPr>
        <w:t>,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taj udio zaostaje za značajnih 8,6 postotnih bodova u odnosu na prosjek EU. Navedenim se dolazi do zaključka kako</w:t>
      </w:r>
      <w:r w:rsidR="00847DE6">
        <w:rPr>
          <w:rFonts w:ascii="Palatino Linotype" w:eastAsiaTheme="minorHAnsi" w:hAnsi="Palatino Linotype" w:cstheme="minorBidi"/>
          <w:lang w:val="hr-HR"/>
        </w:rPr>
        <w:t xml:space="preserve"> se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u Strategiji i u Prog</w:t>
      </w:r>
      <w:r w:rsidR="00847DE6">
        <w:rPr>
          <w:rFonts w:ascii="Palatino Linotype" w:eastAsiaTheme="minorHAnsi" w:hAnsi="Palatino Linotype" w:cstheme="minorBidi"/>
          <w:lang w:val="hr-HR"/>
        </w:rPr>
        <w:t>ramu izvedenom iz nje trebalo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kao cilj postaviti</w:t>
      </w:r>
      <w:r w:rsidRPr="00F624B6">
        <w:rPr>
          <w:rFonts w:ascii="Palatino Linotype" w:eastAsiaTheme="minorHAnsi" w:hAnsi="Palatino Linotype" w:cstheme="minorBidi"/>
          <w:b/>
          <w:lang w:val="hr-HR"/>
        </w:rPr>
        <w:t xml:space="preserve"> povećanje udjela troškova socijalne zaštite u BDP-u</w:t>
      </w:r>
      <w:r w:rsidRPr="00F624B6">
        <w:rPr>
          <w:rFonts w:ascii="Palatino Linotype" w:eastAsiaTheme="minorHAnsi" w:hAnsi="Palatino Linotype" w:cstheme="minorBidi"/>
          <w:lang w:val="hr-HR"/>
        </w:rPr>
        <w:t>, bez obzira na kojoj razini on bio postavljen, jer zbog trenda pada gospodarske aktivnosti</w:t>
      </w:r>
      <w:r w:rsidR="00847DE6">
        <w:rPr>
          <w:rFonts w:ascii="Palatino Linotype" w:eastAsiaTheme="minorHAnsi" w:hAnsi="Palatino Linotype" w:cstheme="minorBidi"/>
          <w:lang w:val="hr-HR"/>
        </w:rPr>
        <w:t>,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smanjenjem apsolutnih iznosa socijalnih transfera samo se još dodatno produbljuje postojeće siromaštvo. Dok god BDP pada, što je trenutno slučaj, udio troškova socijalne zaštite u BDP-u sam po sebi raste i bez mijenjanja apsolutnih iznosa t</w:t>
      </w:r>
      <w:r w:rsidR="00355833">
        <w:rPr>
          <w:rFonts w:ascii="Palatino Linotype" w:eastAsiaTheme="minorHAnsi" w:hAnsi="Palatino Linotype" w:cstheme="minorBidi"/>
          <w:lang w:val="hr-HR"/>
        </w:rPr>
        <w:t xml:space="preserve">roškova socijalne zaštite. Tako </w:t>
      </w:r>
      <w:r w:rsidRPr="00F624B6">
        <w:rPr>
          <w:rFonts w:ascii="Palatino Linotype" w:eastAsiaTheme="minorHAnsi" w:hAnsi="Palatino Linotype" w:cstheme="minorBidi"/>
          <w:lang w:val="hr-HR"/>
        </w:rPr>
        <w:t>postavljenim ciljem</w:t>
      </w:r>
      <w:r w:rsidR="00D55FA3">
        <w:rPr>
          <w:rFonts w:ascii="Palatino Linotype" w:eastAsiaTheme="minorHAnsi" w:hAnsi="Palatino Linotype" w:cstheme="minorBidi"/>
          <w:lang w:val="hr-HR"/>
        </w:rPr>
        <w:t xml:space="preserve"> </w:t>
      </w:r>
      <w:r w:rsidR="00847DE6" w:rsidRPr="00F624B6">
        <w:rPr>
          <w:rFonts w:ascii="Palatino Linotype" w:eastAsiaTheme="minorHAnsi" w:hAnsi="Palatino Linotype" w:cstheme="minorBidi"/>
          <w:lang w:val="hr-HR"/>
        </w:rPr>
        <w:t>nametnulo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bi se kontrolirano povećanje apsolutnih iznosa socijalnih transfera u uvjetima kada BDP raste i onemogućilo njihovo značajnije smanjivan</w:t>
      </w:r>
      <w:r w:rsidR="00355833">
        <w:rPr>
          <w:rFonts w:ascii="Palatino Linotype" w:eastAsiaTheme="minorHAnsi" w:hAnsi="Palatino Linotype" w:cstheme="minorBidi"/>
          <w:lang w:val="hr-HR"/>
        </w:rPr>
        <w:t xml:space="preserve">je u uvjetima kada BDP pada, </w:t>
      </w:r>
      <w:r w:rsidR="00860079">
        <w:rPr>
          <w:rFonts w:ascii="Palatino Linotype" w:eastAsiaTheme="minorHAnsi" w:hAnsi="Palatino Linotype" w:cstheme="minorBidi"/>
          <w:lang w:val="hr-HR"/>
        </w:rPr>
        <w:t>to ne znači nužno da</w:t>
      </w:r>
      <w:r w:rsidRPr="00F624B6">
        <w:rPr>
          <w:rFonts w:ascii="Palatino Linotype" w:eastAsiaTheme="minorHAnsi" w:hAnsi="Palatino Linotype" w:cstheme="minorBidi"/>
          <w:lang w:val="hr-HR"/>
        </w:rPr>
        <w:t xml:space="preserve"> se apsolutni iznosi naknada trebaju povećavati kako bi se ostvario cilj.</w:t>
      </w:r>
    </w:p>
    <w:p w:rsidR="00F624B6" w:rsidRPr="00F624B6" w:rsidRDefault="00F624B6" w:rsidP="00273367">
      <w:pPr>
        <w:spacing w:line="259" w:lineRule="auto"/>
        <w:ind w:left="-1134"/>
        <w:jc w:val="both"/>
        <w:rPr>
          <w:rFonts w:ascii="Palatino Linotype" w:eastAsiaTheme="minorHAnsi" w:hAnsi="Palatino Linotype" w:cstheme="minorBidi"/>
          <w:lang w:val="hr-HR"/>
        </w:rPr>
      </w:pPr>
    </w:p>
    <w:p w:rsidR="00F624B6" w:rsidRPr="00F624B6" w:rsidRDefault="00F624B6" w:rsidP="00E04215">
      <w:pPr>
        <w:spacing w:line="259" w:lineRule="auto"/>
        <w:ind w:left="-1134" w:firstLine="708"/>
        <w:jc w:val="both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lang w:val="hr-HR"/>
        </w:rPr>
        <w:t xml:space="preserve">S poštovanjem </w:t>
      </w:r>
    </w:p>
    <w:p w:rsidR="00F624B6" w:rsidRPr="00F624B6" w:rsidRDefault="00F624B6" w:rsidP="00E04215">
      <w:pPr>
        <w:spacing w:line="259" w:lineRule="auto"/>
        <w:ind w:left="3600"/>
        <w:jc w:val="center"/>
        <w:rPr>
          <w:rFonts w:ascii="Palatino Linotype" w:eastAsiaTheme="minorHAnsi" w:hAnsi="Palatino Linotype" w:cstheme="minorBidi"/>
          <w:lang w:val="hr-HR"/>
        </w:rPr>
      </w:pPr>
      <w:r w:rsidRPr="00F624B6">
        <w:rPr>
          <w:rFonts w:ascii="Palatino Linotype" w:eastAsiaTheme="minorHAnsi" w:hAnsi="Palatino Linotype" w:cstheme="minorBidi"/>
          <w:b/>
          <w:lang w:val="hr-HR"/>
        </w:rPr>
        <w:t>Predsjednik</w:t>
      </w:r>
    </w:p>
    <w:p w:rsidR="00F624B6" w:rsidRPr="00F624B6" w:rsidRDefault="00F624B6" w:rsidP="00E04215">
      <w:pPr>
        <w:spacing w:line="259" w:lineRule="auto"/>
        <w:ind w:left="3600"/>
        <w:jc w:val="center"/>
        <w:rPr>
          <w:rFonts w:ascii="Palatino Linotype" w:eastAsiaTheme="minorHAnsi" w:hAnsi="Palatino Linotype" w:cstheme="minorBidi"/>
          <w:i/>
          <w:lang w:val="hr-HR"/>
        </w:rPr>
      </w:pPr>
      <w:r w:rsidRPr="00F624B6">
        <w:rPr>
          <w:rFonts w:ascii="Palatino Linotype" w:eastAsiaTheme="minorHAnsi" w:hAnsi="Palatino Linotype" w:cstheme="minorBidi"/>
          <w:i/>
          <w:lang w:val="hr-HR"/>
        </w:rPr>
        <w:t>Krešimir Sever</w:t>
      </w:r>
    </w:p>
    <w:p w:rsidR="00102199" w:rsidRPr="00D86735" w:rsidRDefault="00102199" w:rsidP="00E84E58">
      <w:pPr>
        <w:ind w:firstLine="708"/>
        <w:jc w:val="both"/>
        <w:rPr>
          <w:rFonts w:ascii="Palatino Linotype" w:hAnsi="Palatino Linotype"/>
          <w:sz w:val="22"/>
          <w:szCs w:val="22"/>
          <w:lang w:val="hr-HR"/>
        </w:rPr>
      </w:pPr>
    </w:p>
    <w:sectPr w:rsidR="00102199" w:rsidRPr="00D86735" w:rsidSect="00E04215">
      <w:footerReference w:type="even" r:id="rId8"/>
      <w:footerReference w:type="default" r:id="rId9"/>
      <w:pgSz w:w="11906" w:h="16838"/>
      <w:pgMar w:top="1797" w:right="1134" w:bottom="902" w:left="2279" w:header="709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20" w:rsidRDefault="00A37B20">
      <w:r>
        <w:separator/>
      </w:r>
    </w:p>
  </w:endnote>
  <w:endnote w:type="continuationSeparator" w:id="0">
    <w:p w:rsidR="00A37B20" w:rsidRDefault="00A3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F5" w:rsidRDefault="00FD704A" w:rsidP="00B63C9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A70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70F5" w:rsidRDefault="00DA70F5" w:rsidP="0059281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40"/>
      <w:docPartObj>
        <w:docPartGallery w:val="Page Numbers (Bottom of Page)"/>
        <w:docPartUnique/>
      </w:docPartObj>
    </w:sdtPr>
    <w:sdtEndPr/>
    <w:sdtContent>
      <w:p w:rsidR="00E04215" w:rsidRDefault="00A37B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0F5" w:rsidRPr="00DA2A7E" w:rsidRDefault="00DA70F5" w:rsidP="00DA2A7E">
    <w:pPr>
      <w:pStyle w:val="Podnoj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20" w:rsidRDefault="00A37B20">
      <w:r>
        <w:separator/>
      </w:r>
    </w:p>
  </w:footnote>
  <w:footnote w:type="continuationSeparator" w:id="0">
    <w:p w:rsidR="00A37B20" w:rsidRDefault="00A3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E3C"/>
    <w:multiLevelType w:val="hybridMultilevel"/>
    <w:tmpl w:val="9C88A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AAF"/>
    <w:multiLevelType w:val="hybridMultilevel"/>
    <w:tmpl w:val="3BF69B90"/>
    <w:lvl w:ilvl="0" w:tplc="78FCE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446F"/>
    <w:multiLevelType w:val="hybridMultilevel"/>
    <w:tmpl w:val="094E7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AD5"/>
    <w:multiLevelType w:val="hybridMultilevel"/>
    <w:tmpl w:val="3F90E404"/>
    <w:lvl w:ilvl="0" w:tplc="4A0643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CD9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75174"/>
    <w:multiLevelType w:val="hybridMultilevel"/>
    <w:tmpl w:val="9342E78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21"/>
    <w:rsid w:val="00001C7F"/>
    <w:rsid w:val="00004359"/>
    <w:rsid w:val="00007857"/>
    <w:rsid w:val="000223C9"/>
    <w:rsid w:val="00025D82"/>
    <w:rsid w:val="000260A3"/>
    <w:rsid w:val="000276B9"/>
    <w:rsid w:val="000306FF"/>
    <w:rsid w:val="00034024"/>
    <w:rsid w:val="00041573"/>
    <w:rsid w:val="00043A83"/>
    <w:rsid w:val="00045CC7"/>
    <w:rsid w:val="00065EA2"/>
    <w:rsid w:val="000722CC"/>
    <w:rsid w:val="00076357"/>
    <w:rsid w:val="00077460"/>
    <w:rsid w:val="00081475"/>
    <w:rsid w:val="00087224"/>
    <w:rsid w:val="000A0687"/>
    <w:rsid w:val="000A3B02"/>
    <w:rsid w:val="000B02B3"/>
    <w:rsid w:val="000B3BDB"/>
    <w:rsid w:val="000C053F"/>
    <w:rsid w:val="000C59A3"/>
    <w:rsid w:val="000D58B6"/>
    <w:rsid w:val="00102199"/>
    <w:rsid w:val="001046C3"/>
    <w:rsid w:val="00110708"/>
    <w:rsid w:val="00117842"/>
    <w:rsid w:val="0012249F"/>
    <w:rsid w:val="00125059"/>
    <w:rsid w:val="0012629C"/>
    <w:rsid w:val="0012768E"/>
    <w:rsid w:val="00135911"/>
    <w:rsid w:val="001367DA"/>
    <w:rsid w:val="00145C3C"/>
    <w:rsid w:val="0015676A"/>
    <w:rsid w:val="001618A2"/>
    <w:rsid w:val="0016534A"/>
    <w:rsid w:val="00193FA3"/>
    <w:rsid w:val="00197E3A"/>
    <w:rsid w:val="001A3C97"/>
    <w:rsid w:val="001A61BC"/>
    <w:rsid w:val="001B7F29"/>
    <w:rsid w:val="001C2BDF"/>
    <w:rsid w:val="001D0951"/>
    <w:rsid w:val="001D4942"/>
    <w:rsid w:val="001D782C"/>
    <w:rsid w:val="001E2C06"/>
    <w:rsid w:val="001E2E34"/>
    <w:rsid w:val="001F0E0B"/>
    <w:rsid w:val="001F5327"/>
    <w:rsid w:val="002026AE"/>
    <w:rsid w:val="00223BEA"/>
    <w:rsid w:val="002264F0"/>
    <w:rsid w:val="00227D42"/>
    <w:rsid w:val="00233892"/>
    <w:rsid w:val="002346C6"/>
    <w:rsid w:val="00234F40"/>
    <w:rsid w:val="00241442"/>
    <w:rsid w:val="00245EFA"/>
    <w:rsid w:val="0026145D"/>
    <w:rsid w:val="00273367"/>
    <w:rsid w:val="00276199"/>
    <w:rsid w:val="00280EDA"/>
    <w:rsid w:val="00282551"/>
    <w:rsid w:val="00287CDC"/>
    <w:rsid w:val="00290D1A"/>
    <w:rsid w:val="0029673B"/>
    <w:rsid w:val="00297E73"/>
    <w:rsid w:val="002B3346"/>
    <w:rsid w:val="002D4271"/>
    <w:rsid w:val="002D66B8"/>
    <w:rsid w:val="002D742C"/>
    <w:rsid w:val="002F4784"/>
    <w:rsid w:val="002F6FD8"/>
    <w:rsid w:val="00302547"/>
    <w:rsid w:val="00315322"/>
    <w:rsid w:val="00320E09"/>
    <w:rsid w:val="00350073"/>
    <w:rsid w:val="00355833"/>
    <w:rsid w:val="00371767"/>
    <w:rsid w:val="00376AF1"/>
    <w:rsid w:val="00390FE2"/>
    <w:rsid w:val="00395C09"/>
    <w:rsid w:val="003A0942"/>
    <w:rsid w:val="003A20B6"/>
    <w:rsid w:val="003A41CD"/>
    <w:rsid w:val="003C7D65"/>
    <w:rsid w:val="003D5C4E"/>
    <w:rsid w:val="003F22D9"/>
    <w:rsid w:val="00407CE4"/>
    <w:rsid w:val="00420841"/>
    <w:rsid w:val="00421DFD"/>
    <w:rsid w:val="00422DA9"/>
    <w:rsid w:val="00426788"/>
    <w:rsid w:val="00431D3C"/>
    <w:rsid w:val="00432887"/>
    <w:rsid w:val="0044085B"/>
    <w:rsid w:val="00440D4D"/>
    <w:rsid w:val="004673F3"/>
    <w:rsid w:val="0046759A"/>
    <w:rsid w:val="00467BF1"/>
    <w:rsid w:val="00472854"/>
    <w:rsid w:val="00475CC5"/>
    <w:rsid w:val="00480177"/>
    <w:rsid w:val="004A38EC"/>
    <w:rsid w:val="004B4385"/>
    <w:rsid w:val="004B5DE1"/>
    <w:rsid w:val="004C5259"/>
    <w:rsid w:val="004D35DF"/>
    <w:rsid w:val="004E18C0"/>
    <w:rsid w:val="004E7C6F"/>
    <w:rsid w:val="00510263"/>
    <w:rsid w:val="00515157"/>
    <w:rsid w:val="00522425"/>
    <w:rsid w:val="00525609"/>
    <w:rsid w:val="00531A52"/>
    <w:rsid w:val="0054046E"/>
    <w:rsid w:val="00547F31"/>
    <w:rsid w:val="00552AE1"/>
    <w:rsid w:val="00556BC3"/>
    <w:rsid w:val="00557C57"/>
    <w:rsid w:val="00565332"/>
    <w:rsid w:val="00565696"/>
    <w:rsid w:val="00577AC3"/>
    <w:rsid w:val="0058359D"/>
    <w:rsid w:val="0059001E"/>
    <w:rsid w:val="00590CD9"/>
    <w:rsid w:val="0059281E"/>
    <w:rsid w:val="005971E5"/>
    <w:rsid w:val="005A44CE"/>
    <w:rsid w:val="005B5EF0"/>
    <w:rsid w:val="005C54BE"/>
    <w:rsid w:val="005D6576"/>
    <w:rsid w:val="005E43F7"/>
    <w:rsid w:val="00600CBE"/>
    <w:rsid w:val="00605322"/>
    <w:rsid w:val="006175DE"/>
    <w:rsid w:val="00623BBF"/>
    <w:rsid w:val="00643C94"/>
    <w:rsid w:val="00644CA5"/>
    <w:rsid w:val="00651205"/>
    <w:rsid w:val="006552A9"/>
    <w:rsid w:val="0066125F"/>
    <w:rsid w:val="00665A7C"/>
    <w:rsid w:val="0067446B"/>
    <w:rsid w:val="006744F6"/>
    <w:rsid w:val="00684818"/>
    <w:rsid w:val="006911EC"/>
    <w:rsid w:val="006A0DAF"/>
    <w:rsid w:val="006A583D"/>
    <w:rsid w:val="006A6A8D"/>
    <w:rsid w:val="006A7C94"/>
    <w:rsid w:val="006B50F9"/>
    <w:rsid w:val="006C3E3E"/>
    <w:rsid w:val="006D4FE1"/>
    <w:rsid w:val="006D5D20"/>
    <w:rsid w:val="006F37B3"/>
    <w:rsid w:val="00703336"/>
    <w:rsid w:val="00706DA9"/>
    <w:rsid w:val="007106F1"/>
    <w:rsid w:val="007329A4"/>
    <w:rsid w:val="00740F21"/>
    <w:rsid w:val="00760C2D"/>
    <w:rsid w:val="0077176A"/>
    <w:rsid w:val="00781107"/>
    <w:rsid w:val="007900A2"/>
    <w:rsid w:val="007D45C6"/>
    <w:rsid w:val="007E4372"/>
    <w:rsid w:val="007F1EA4"/>
    <w:rsid w:val="007F24D4"/>
    <w:rsid w:val="007F535D"/>
    <w:rsid w:val="007F6A9B"/>
    <w:rsid w:val="00804D4D"/>
    <w:rsid w:val="00821961"/>
    <w:rsid w:val="008362D5"/>
    <w:rsid w:val="008403EA"/>
    <w:rsid w:val="00847DE6"/>
    <w:rsid w:val="00856309"/>
    <w:rsid w:val="00860079"/>
    <w:rsid w:val="008606B2"/>
    <w:rsid w:val="008722B9"/>
    <w:rsid w:val="008913A9"/>
    <w:rsid w:val="00895E97"/>
    <w:rsid w:val="00896E8D"/>
    <w:rsid w:val="008A285A"/>
    <w:rsid w:val="008B3573"/>
    <w:rsid w:val="008C1A17"/>
    <w:rsid w:val="008C20A3"/>
    <w:rsid w:val="008C7BD6"/>
    <w:rsid w:val="008D0537"/>
    <w:rsid w:val="008D257E"/>
    <w:rsid w:val="008E3D15"/>
    <w:rsid w:val="008F1848"/>
    <w:rsid w:val="008F364B"/>
    <w:rsid w:val="008F733B"/>
    <w:rsid w:val="009050BF"/>
    <w:rsid w:val="00905749"/>
    <w:rsid w:val="0092096B"/>
    <w:rsid w:val="00921B20"/>
    <w:rsid w:val="009238E5"/>
    <w:rsid w:val="0093458F"/>
    <w:rsid w:val="0093506C"/>
    <w:rsid w:val="00935F73"/>
    <w:rsid w:val="009461DF"/>
    <w:rsid w:val="00960E00"/>
    <w:rsid w:val="00977AC3"/>
    <w:rsid w:val="00986AF7"/>
    <w:rsid w:val="00993684"/>
    <w:rsid w:val="009947B1"/>
    <w:rsid w:val="009B0EAE"/>
    <w:rsid w:val="009B7D4C"/>
    <w:rsid w:val="009C2843"/>
    <w:rsid w:val="009C3D2D"/>
    <w:rsid w:val="009C42DF"/>
    <w:rsid w:val="009C59D2"/>
    <w:rsid w:val="009D4BC2"/>
    <w:rsid w:val="009E1EFB"/>
    <w:rsid w:val="009F0D3D"/>
    <w:rsid w:val="00A02D9E"/>
    <w:rsid w:val="00A34144"/>
    <w:rsid w:val="00A34EFE"/>
    <w:rsid w:val="00A37B20"/>
    <w:rsid w:val="00A431E2"/>
    <w:rsid w:val="00A46ECA"/>
    <w:rsid w:val="00A7197A"/>
    <w:rsid w:val="00A73624"/>
    <w:rsid w:val="00A76986"/>
    <w:rsid w:val="00A76F66"/>
    <w:rsid w:val="00A866BA"/>
    <w:rsid w:val="00A90477"/>
    <w:rsid w:val="00A95D6A"/>
    <w:rsid w:val="00AB613F"/>
    <w:rsid w:val="00AE020E"/>
    <w:rsid w:val="00AF385B"/>
    <w:rsid w:val="00AF748B"/>
    <w:rsid w:val="00B027B9"/>
    <w:rsid w:val="00B04DDA"/>
    <w:rsid w:val="00B10704"/>
    <w:rsid w:val="00B1242A"/>
    <w:rsid w:val="00B1455C"/>
    <w:rsid w:val="00B1692F"/>
    <w:rsid w:val="00B17F3B"/>
    <w:rsid w:val="00B233D9"/>
    <w:rsid w:val="00B256B2"/>
    <w:rsid w:val="00B27479"/>
    <w:rsid w:val="00B47C90"/>
    <w:rsid w:val="00B543E7"/>
    <w:rsid w:val="00B54FE3"/>
    <w:rsid w:val="00B55FA4"/>
    <w:rsid w:val="00B630A7"/>
    <w:rsid w:val="00B63C9D"/>
    <w:rsid w:val="00B65D6C"/>
    <w:rsid w:val="00B65F85"/>
    <w:rsid w:val="00B903A3"/>
    <w:rsid w:val="00BA37B8"/>
    <w:rsid w:val="00BA5BC8"/>
    <w:rsid w:val="00BB6C74"/>
    <w:rsid w:val="00BC0F98"/>
    <w:rsid w:val="00BC5919"/>
    <w:rsid w:val="00BC6561"/>
    <w:rsid w:val="00BE087E"/>
    <w:rsid w:val="00BE42F4"/>
    <w:rsid w:val="00BE6075"/>
    <w:rsid w:val="00C03265"/>
    <w:rsid w:val="00C04D79"/>
    <w:rsid w:val="00C0714E"/>
    <w:rsid w:val="00C257FA"/>
    <w:rsid w:val="00C31714"/>
    <w:rsid w:val="00C36A21"/>
    <w:rsid w:val="00C379C3"/>
    <w:rsid w:val="00C431C6"/>
    <w:rsid w:val="00C43FA4"/>
    <w:rsid w:val="00C55B01"/>
    <w:rsid w:val="00C573CC"/>
    <w:rsid w:val="00C60A44"/>
    <w:rsid w:val="00C6626A"/>
    <w:rsid w:val="00C707E9"/>
    <w:rsid w:val="00C77F79"/>
    <w:rsid w:val="00C810D7"/>
    <w:rsid w:val="00C82FDD"/>
    <w:rsid w:val="00C91F39"/>
    <w:rsid w:val="00C95FA0"/>
    <w:rsid w:val="00C976A0"/>
    <w:rsid w:val="00CB232C"/>
    <w:rsid w:val="00CC0C75"/>
    <w:rsid w:val="00CC0F3B"/>
    <w:rsid w:val="00CD6759"/>
    <w:rsid w:val="00CF17F0"/>
    <w:rsid w:val="00D1383F"/>
    <w:rsid w:val="00D1526B"/>
    <w:rsid w:val="00D21674"/>
    <w:rsid w:val="00D2185D"/>
    <w:rsid w:val="00D30B39"/>
    <w:rsid w:val="00D31258"/>
    <w:rsid w:val="00D31D28"/>
    <w:rsid w:val="00D42C6E"/>
    <w:rsid w:val="00D44833"/>
    <w:rsid w:val="00D47F72"/>
    <w:rsid w:val="00D55FA3"/>
    <w:rsid w:val="00D820D0"/>
    <w:rsid w:val="00D86735"/>
    <w:rsid w:val="00D914ED"/>
    <w:rsid w:val="00D93302"/>
    <w:rsid w:val="00DA2A7E"/>
    <w:rsid w:val="00DA418B"/>
    <w:rsid w:val="00DA70F5"/>
    <w:rsid w:val="00DB4951"/>
    <w:rsid w:val="00DC0B60"/>
    <w:rsid w:val="00DD17A4"/>
    <w:rsid w:val="00E001D2"/>
    <w:rsid w:val="00E02731"/>
    <w:rsid w:val="00E04215"/>
    <w:rsid w:val="00E1350C"/>
    <w:rsid w:val="00E20877"/>
    <w:rsid w:val="00E22ED9"/>
    <w:rsid w:val="00E30C58"/>
    <w:rsid w:val="00E3743C"/>
    <w:rsid w:val="00E40CAA"/>
    <w:rsid w:val="00E43A04"/>
    <w:rsid w:val="00E56957"/>
    <w:rsid w:val="00E604F5"/>
    <w:rsid w:val="00E628A8"/>
    <w:rsid w:val="00E655F3"/>
    <w:rsid w:val="00E84E58"/>
    <w:rsid w:val="00EA66DE"/>
    <w:rsid w:val="00EB7156"/>
    <w:rsid w:val="00EE07BE"/>
    <w:rsid w:val="00EE756E"/>
    <w:rsid w:val="00F05805"/>
    <w:rsid w:val="00F14EA8"/>
    <w:rsid w:val="00F155F9"/>
    <w:rsid w:val="00F240F4"/>
    <w:rsid w:val="00F30DDF"/>
    <w:rsid w:val="00F35807"/>
    <w:rsid w:val="00F464D5"/>
    <w:rsid w:val="00F467D4"/>
    <w:rsid w:val="00F624B6"/>
    <w:rsid w:val="00F76D2A"/>
    <w:rsid w:val="00F83C24"/>
    <w:rsid w:val="00F84106"/>
    <w:rsid w:val="00F92F00"/>
    <w:rsid w:val="00F95DCF"/>
    <w:rsid w:val="00F96DD9"/>
    <w:rsid w:val="00FD704A"/>
    <w:rsid w:val="00FE21AD"/>
    <w:rsid w:val="00FE5F6E"/>
    <w:rsid w:val="00FF5488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9E2B6-6925-4084-96AC-F224372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F1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76AF1"/>
    <w:pPr>
      <w:jc w:val="both"/>
    </w:pPr>
    <w:rPr>
      <w:rFonts w:ascii="Arial" w:hAnsi="Arial" w:cs="Arial"/>
      <w:sz w:val="22"/>
      <w:lang w:val="hr-HR"/>
    </w:rPr>
  </w:style>
  <w:style w:type="paragraph" w:styleId="Uvuenotijeloteksta">
    <w:name w:val="Body Text Indent"/>
    <w:basedOn w:val="Normal"/>
    <w:rsid w:val="00376AF1"/>
    <w:pPr>
      <w:ind w:left="720" w:firstLine="720"/>
      <w:jc w:val="both"/>
    </w:pPr>
    <w:rPr>
      <w:rFonts w:ascii="Arial" w:hAnsi="Arial" w:cs="Arial"/>
      <w:sz w:val="22"/>
      <w:lang w:val="hr-HR"/>
    </w:rPr>
  </w:style>
  <w:style w:type="paragraph" w:styleId="Podnoje">
    <w:name w:val="footer"/>
    <w:basedOn w:val="Normal"/>
    <w:link w:val="PodnojeChar"/>
    <w:uiPriority w:val="99"/>
    <w:rsid w:val="0059281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9281E"/>
  </w:style>
  <w:style w:type="paragraph" w:styleId="Zaglavlje">
    <w:name w:val="header"/>
    <w:basedOn w:val="Normal"/>
    <w:rsid w:val="0059281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71767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E001D2"/>
    <w:rPr>
      <w:sz w:val="16"/>
      <w:szCs w:val="16"/>
    </w:rPr>
  </w:style>
  <w:style w:type="paragraph" w:styleId="Tekstkomentara">
    <w:name w:val="annotation text"/>
    <w:basedOn w:val="Normal"/>
    <w:semiHidden/>
    <w:rsid w:val="00E001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001D2"/>
    <w:rPr>
      <w:b/>
      <w:bCs/>
    </w:rPr>
  </w:style>
  <w:style w:type="paragraph" w:styleId="Odlomakpopisa">
    <w:name w:val="List Paragraph"/>
    <w:basedOn w:val="Normal"/>
    <w:uiPriority w:val="34"/>
    <w:qFormat/>
    <w:rsid w:val="007717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styleId="Hiperveza">
    <w:name w:val="Hyperlink"/>
    <w:uiPriority w:val="99"/>
    <w:unhideWhenUsed/>
    <w:rsid w:val="0077176A"/>
    <w:rPr>
      <w:color w:val="0563C1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F733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EEDD-956C-41EB-A7FD-83B1B787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GOSPODARSTVA,</vt:lpstr>
      <vt:lpstr>MINISTARSTVO GOSPODARSTVA,</vt:lpstr>
    </vt:vector>
  </TitlesOfParts>
  <Company>NSS</Company>
  <LinksUpToDate>false</LinksUpToDate>
  <CharactersWithSpaces>9307</CharactersWithSpaces>
  <SharedDoc>false</SharedDoc>
  <HLinks>
    <vt:vector size="36" baseType="variant">
      <vt:variant>
        <vt:i4>7340107</vt:i4>
      </vt:variant>
      <vt:variant>
        <vt:i4>15</vt:i4>
      </vt:variant>
      <vt:variant>
        <vt:i4>0</vt:i4>
      </vt:variant>
      <vt:variant>
        <vt:i4>5</vt:i4>
      </vt:variant>
      <vt:variant>
        <vt:lpwstr>http://www.dzs.hr/Hrv_Eng/publication/2013/09-01-01_10_2013.htm</vt:lpwstr>
      </vt:variant>
      <vt:variant>
        <vt:lpwstr/>
      </vt:variant>
      <vt:variant>
        <vt:i4>7405633</vt:i4>
      </vt:variant>
      <vt:variant>
        <vt:i4>12</vt:i4>
      </vt:variant>
      <vt:variant>
        <vt:i4>0</vt:i4>
      </vt:variant>
      <vt:variant>
        <vt:i4>5</vt:i4>
      </vt:variant>
      <vt:variant>
        <vt:lpwstr>http://www.dzs.hr/Hrv_Eng/publication/2013/13-01-01_10_2013.htm</vt:lpwstr>
      </vt:variant>
      <vt:variant>
        <vt:lpwstr/>
      </vt:variant>
      <vt:variant>
        <vt:i4>7536715</vt:i4>
      </vt:variant>
      <vt:variant>
        <vt:i4>9</vt:i4>
      </vt:variant>
      <vt:variant>
        <vt:i4>0</vt:i4>
      </vt:variant>
      <vt:variant>
        <vt:i4>5</vt:i4>
      </vt:variant>
      <vt:variant>
        <vt:lpwstr>http://www.dzs.hr/Hrv_Eng/publication/2013/09-02-01_10_2013.htm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http://www.dzs.hr/Hrv_Eng/publication/2013/09-01-01_07_2013.htm</vt:lpwstr>
      </vt:variant>
      <vt:variant>
        <vt:lpwstr/>
      </vt:variant>
      <vt:variant>
        <vt:i4>7733312</vt:i4>
      </vt:variant>
      <vt:variant>
        <vt:i4>3</vt:i4>
      </vt:variant>
      <vt:variant>
        <vt:i4>0</vt:i4>
      </vt:variant>
      <vt:variant>
        <vt:i4>5</vt:i4>
      </vt:variant>
      <vt:variant>
        <vt:lpwstr>http://www.dzs.hr/Hrv_Eng/publication/2013/13-01-01_07_2013.htm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http://www.dzs.hr/Hrv_Eng/publication/2013/09-02-01_08_2013.htm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GOSPODARSTVA,</dc:title>
  <dc:creator>Sindikat</dc:creator>
  <cp:lastModifiedBy>user</cp:lastModifiedBy>
  <cp:revision>2</cp:revision>
  <cp:lastPrinted>2014-12-03T15:31:00Z</cp:lastPrinted>
  <dcterms:created xsi:type="dcterms:W3CDTF">2014-12-09T08:50:00Z</dcterms:created>
  <dcterms:modified xsi:type="dcterms:W3CDTF">2014-12-09T08:50:00Z</dcterms:modified>
</cp:coreProperties>
</file>